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eastAsia" w:asciiTheme="minorEastAsia" w:hAnsiTheme="minorEastAsia" w:eastAsiaTheme="minorEastAsia" w:cstheme="minorEastAsia"/>
          <w:sz w:val="24"/>
          <w:szCs w:val="24"/>
          <w:lang w:val="en-US" w:eastAsia="zh-CN"/>
        </w:rPr>
      </w:pPr>
      <w:bookmarkStart w:id="0" w:name="_GoBack"/>
      <w:r>
        <w:rPr>
          <w:rFonts w:hint="eastAsia" w:asciiTheme="minorEastAsia" w:hAnsiTheme="minorEastAsia" w:eastAsiaTheme="minorEastAsia" w:cstheme="minorEastAsia"/>
          <w:sz w:val="24"/>
          <w:szCs w:val="24"/>
          <w:lang w:eastAsia="zh-CN"/>
        </w:rPr>
        <w:t>附件</w:t>
      </w:r>
      <w:r>
        <w:rPr>
          <w:rFonts w:hint="eastAsia" w:asciiTheme="minorEastAsia" w:hAnsiTheme="minorEastAsia" w:eastAsiaTheme="minorEastAsia" w:cstheme="minorEastAsia"/>
          <w:sz w:val="24"/>
          <w:szCs w:val="24"/>
          <w:lang w:val="en-US" w:eastAsia="zh-CN"/>
        </w:rPr>
        <w:t>2</w:t>
      </w:r>
    </w:p>
    <w:bookmarkEnd w:id="0"/>
    <w:p>
      <w:pPr>
        <w:keepNext w:val="0"/>
        <w:keepLines w:val="0"/>
        <w:pageBreakBefore w:val="0"/>
        <w:widowControl w:val="0"/>
        <w:kinsoku/>
        <w:wordWrap/>
        <w:overflowPunct/>
        <w:topLinePunct w:val="0"/>
        <w:autoSpaceDE/>
        <w:autoSpaceDN/>
        <w:bidi w:val="0"/>
        <w:adjustRightInd/>
        <w:snapToGrid/>
        <w:spacing w:line="640" w:lineRule="exact"/>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2021-2025年度</w:t>
      </w:r>
    </w:p>
    <w:p>
      <w:pPr>
        <w:keepNext w:val="0"/>
        <w:keepLines w:val="0"/>
        <w:pageBreakBefore w:val="0"/>
        <w:widowControl w:val="0"/>
        <w:kinsoku/>
        <w:wordWrap/>
        <w:overflowPunct/>
        <w:topLinePunct w:val="0"/>
        <w:autoSpaceDE/>
        <w:autoSpaceDN/>
        <w:bidi w:val="0"/>
        <w:adjustRightInd/>
        <w:snapToGrid/>
        <w:spacing w:line="640" w:lineRule="exact"/>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全国科普示范县（市、区）标准</w:t>
      </w:r>
    </w:p>
    <w:p>
      <w:pPr>
        <w:keepNext w:val="0"/>
        <w:keepLines w:val="0"/>
        <w:pageBreakBefore w:val="0"/>
        <w:widowControl w:val="0"/>
        <w:kinsoku/>
        <w:wordWrap/>
        <w:overflowPunct/>
        <w:topLinePunct w:val="0"/>
        <w:autoSpaceDE/>
        <w:autoSpaceDN/>
        <w:bidi w:val="0"/>
        <w:adjustRightInd/>
        <w:snapToGrid/>
        <w:spacing w:line="640" w:lineRule="exact"/>
        <w:jc w:val="center"/>
        <w:textAlignment w:val="auto"/>
        <w:rPr>
          <w:rFonts w:hint="eastAsia" w:ascii="方正小标宋简体" w:hAnsi="方正小标宋简体" w:eastAsia="方正小标宋简体" w:cs="方正小标宋简体"/>
          <w:sz w:val="44"/>
          <w:szCs w:val="44"/>
        </w:rPr>
      </w:pPr>
      <w:r>
        <w:rPr>
          <w:rFonts w:hint="eastAsia" w:ascii="方正楷体_GBK" w:hAnsi="方正楷体_GBK" w:eastAsia="方正楷体_GBK" w:cs="方正楷体_GBK"/>
          <w:sz w:val="32"/>
          <w:szCs w:val="32"/>
        </w:rPr>
        <w:t>（2020年修订）</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CESI仿宋-GB2312" w:hAnsi="CESI仿宋-GB2312" w:eastAsia="CESI仿宋-GB2312" w:cs="CESI仿宋-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CESI仿宋-GB2312" w:hAnsi="CESI仿宋-GB2312" w:eastAsia="CESI仿宋-GB2312" w:cs="CESI仿宋-GB2312"/>
          <w:sz w:val="32"/>
          <w:szCs w:val="32"/>
        </w:rPr>
      </w:pPr>
      <w:r>
        <w:rPr>
          <w:rFonts w:hint="eastAsia" w:ascii="CESI仿宋-GB2312" w:hAnsi="CESI仿宋-GB2312" w:eastAsia="CESI仿宋-GB2312" w:cs="CESI仿宋-GB2312"/>
          <w:sz w:val="32"/>
          <w:szCs w:val="32"/>
        </w:rPr>
        <w:t>为持续发挥全国科普示范县（市、区）的示范带动作用，推动县域全面实施《全民科学素质行动计划纲要》（以下简称《纲要》），推进新时代基层科普工作模式转型升级，不断提升基层科普公共服务能力，加强科学精神、科学方法和科学家精神在县域的宣传，着力构建以市域为中心、县域为重点、街道乡镇和村、社区为主阵地的全域科普体系，特制订如下标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CESI仿宋-GB2312" w:hAnsi="CESI仿宋-GB2312" w:eastAsia="CESI仿宋-GB2312" w:cs="CESI仿宋-GB2312"/>
          <w:sz w:val="32"/>
          <w:szCs w:val="32"/>
        </w:rPr>
      </w:pPr>
      <w:r>
        <w:rPr>
          <w:rFonts w:hint="eastAsia" w:ascii="CESI仿宋-GB2312" w:hAnsi="CESI仿宋-GB2312" w:eastAsia="CESI仿宋-GB2312" w:cs="CESI仿宋-GB2312"/>
          <w:sz w:val="32"/>
          <w:szCs w:val="32"/>
        </w:rPr>
        <w:t>一、党委和政府重视公民科学素质建设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CESI仿宋-GB2312" w:hAnsi="CESI仿宋-GB2312" w:eastAsia="CESI仿宋-GB2312" w:cs="CESI仿宋-GB2312"/>
          <w:sz w:val="32"/>
          <w:szCs w:val="32"/>
        </w:rPr>
      </w:pPr>
      <w:r>
        <w:rPr>
          <w:rFonts w:hint="eastAsia" w:ascii="CESI仿宋-GB2312" w:hAnsi="CESI仿宋-GB2312" w:eastAsia="CESI仿宋-GB2312" w:cs="CESI仿宋-GB2312"/>
          <w:sz w:val="32"/>
          <w:szCs w:val="32"/>
        </w:rPr>
        <w:t>1.党委和政府重视、制度健全。深入贯彻落实党的十九大精神和习近平总书记“把科学普及放在与科技创新同等重要的位置”等关于科普的重要指示精神。必须已出台当地科协深化改革实施方案。将科学素质建设纳入当地经济社会发展总体规划及精神文明建设规划，建立全民科学素质工作领导机制，建立动员社会力量参与实施《纲要》和开展科普工作的有效机制。党委、政府负责同志积极参加科普活动，每年听取工作汇报，研究解决问题，营造良好的科普工作环境和条件。积极争取市级党委、政府对县级科普的支持。</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CESI仿宋-GB2312" w:hAnsi="CESI仿宋-GB2312" w:eastAsia="CESI仿宋-GB2312" w:cs="CESI仿宋-GB2312"/>
          <w:sz w:val="32"/>
          <w:szCs w:val="32"/>
        </w:rPr>
      </w:pPr>
      <w:r>
        <w:rPr>
          <w:rFonts w:hint="eastAsia" w:ascii="CESI仿宋-GB2312" w:hAnsi="CESI仿宋-GB2312" w:eastAsia="CESI仿宋-GB2312" w:cs="CESI仿宋-GB2312"/>
          <w:sz w:val="32"/>
          <w:szCs w:val="32"/>
        </w:rPr>
        <w:t>2.建立考核管理与表彰奖励制度。结合本地区实际，出台相关文件，将实施科普工作纳入党政领导机关目标责任考核体系，并纳入年度工作目标考核、表彰、奖励范围。与经济社会发展其他指标同考核、同奖惩。对在科学素质建设中作出突出贡献的集体和个人按国家有关规定给予奖励和表彰。</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CESI仿宋-GB2312" w:hAnsi="CESI仿宋-GB2312" w:eastAsia="CESI仿宋-GB2312" w:cs="CESI仿宋-GB2312"/>
          <w:sz w:val="32"/>
          <w:szCs w:val="32"/>
        </w:rPr>
      </w:pPr>
      <w:r>
        <w:rPr>
          <w:rFonts w:hint="eastAsia" w:ascii="CESI仿宋-GB2312" w:hAnsi="CESI仿宋-GB2312" w:eastAsia="CESI仿宋-GB2312" w:cs="CESI仿宋-GB2312"/>
          <w:sz w:val="32"/>
          <w:szCs w:val="32"/>
        </w:rPr>
        <w:t>3.建立应急科普工作机制，加强应急科普工作。积极发挥全国学会和地方科协“一体两翼”组织动员优势，加强新媒体在应急科普中的运用，依托科普中国、科学辟谣、数字科技馆等信息化科普平台，发动广大科技志愿者、基层“三长”、科普中国信息员深入开展应急科普。结合重大热点科技事件，组织传媒与专家共同解读相关领域科学知识，引导公众正确理解和科学认识社会热点事件。探索建立各种应急科普的常态化平台。</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CESI仿宋-GB2312" w:hAnsi="CESI仿宋-GB2312" w:eastAsia="CESI仿宋-GB2312" w:cs="CESI仿宋-GB2312"/>
          <w:sz w:val="32"/>
          <w:szCs w:val="32"/>
        </w:rPr>
      </w:pPr>
      <w:r>
        <w:rPr>
          <w:rFonts w:hint="eastAsia" w:ascii="CESI仿宋-GB2312" w:hAnsi="CESI仿宋-GB2312" w:eastAsia="CESI仿宋-GB2312" w:cs="CESI仿宋-GB2312"/>
          <w:sz w:val="32"/>
          <w:szCs w:val="32"/>
        </w:rPr>
        <w:t>二、科普条件和能力不断增强</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CESI仿宋-GB2312" w:hAnsi="CESI仿宋-GB2312" w:eastAsia="CESI仿宋-GB2312" w:cs="CESI仿宋-GB2312"/>
          <w:sz w:val="32"/>
          <w:szCs w:val="32"/>
        </w:rPr>
      </w:pPr>
      <w:r>
        <w:rPr>
          <w:rFonts w:hint="eastAsia" w:ascii="CESI仿宋-GB2312" w:hAnsi="CESI仿宋-GB2312" w:eastAsia="CESI仿宋-GB2312" w:cs="CESI仿宋-GB2312"/>
          <w:sz w:val="32"/>
          <w:szCs w:val="32"/>
        </w:rPr>
        <w:t>4.组织机构健全。县（市、区）科协依照章程民主办会。乡（镇、街道）、村（社区）两级科普组织健全，街道（乡镇）主要领导或分管科协工作领导主抓科普工作，并明确相关人员做好具体工作。吸纳本地区“三长”（学校校长、医院院长、农技站站长）到县、区、街道（乡镇）科协兼职挂职，鼓励其结合自身专业和工作开展科普活动。每所中小学合理配备专兼职科学教师或科技辅导员。50%以上的涉农乡镇建有农村专业技术协会，涉农县（市、区）围绕农业主导产业或特色产业有1个以上在民政部门登记注册，与企业、合作社等农业生产经营主体融合发展的农技协联合会，且入驻智慧农技协平台。</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CESI仿宋-GB2312" w:hAnsi="CESI仿宋-GB2312" w:eastAsia="CESI仿宋-GB2312" w:cs="CESI仿宋-GB2312"/>
          <w:sz w:val="32"/>
          <w:szCs w:val="32"/>
        </w:rPr>
      </w:pPr>
      <w:r>
        <w:rPr>
          <w:rFonts w:hint="eastAsia" w:ascii="CESI仿宋-GB2312" w:hAnsi="CESI仿宋-GB2312" w:eastAsia="CESI仿宋-GB2312" w:cs="CESI仿宋-GB2312"/>
          <w:sz w:val="32"/>
          <w:szCs w:val="32"/>
        </w:rPr>
        <w:t>5.科普经费保障充分。按规定安排经费支持科普相关事业发展。就基层科普行动计划、科技馆免费开放等上级拨付的经费做到切实发挥实效。</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CESI仿宋-GB2312" w:hAnsi="CESI仿宋-GB2312" w:eastAsia="CESI仿宋-GB2312" w:cs="CESI仿宋-GB2312"/>
          <w:sz w:val="32"/>
          <w:szCs w:val="32"/>
        </w:rPr>
      </w:pPr>
      <w:r>
        <w:rPr>
          <w:rFonts w:hint="eastAsia" w:ascii="CESI仿宋-GB2312" w:hAnsi="CESI仿宋-GB2312" w:eastAsia="CESI仿宋-GB2312" w:cs="CESI仿宋-GB2312"/>
          <w:sz w:val="32"/>
          <w:szCs w:val="32"/>
        </w:rPr>
        <w:t>6．基层科普阵地建设具有一定规模且服务效果良好。县（市、区）建有综合性科普活动场所或专业科普场馆，或科普场馆建设纳入当地经济社会发展规划和基本建设计划，积极筹措经费推动科普场馆建设和运营。有市级（地级市）以上科普教育基地、青少年科技教育基地、农村科普示范基地或科技教育特色学校5处（所）以上。县(市、区)属中、小学建有科技活动室达到50%以上。充分利用各类文化设施、党群服务中心、新时代文明实践中心（所、站）、社区等建设科普阵地。</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CESI仿宋-GB2312" w:hAnsi="CESI仿宋-GB2312" w:eastAsia="CESI仿宋-GB2312" w:cs="CESI仿宋-GB2312"/>
          <w:sz w:val="32"/>
          <w:szCs w:val="32"/>
        </w:rPr>
      </w:pPr>
      <w:r>
        <w:rPr>
          <w:rFonts w:hint="eastAsia" w:ascii="CESI仿宋-GB2312" w:hAnsi="CESI仿宋-GB2312" w:eastAsia="CESI仿宋-GB2312" w:cs="CESI仿宋-GB2312"/>
          <w:sz w:val="32"/>
          <w:szCs w:val="32"/>
        </w:rPr>
        <w:t>7.科技志愿服务扎实推进。成立县级科技志愿服务队伍并在科技志愿服务信息平台注册。不断引导各类科技人才加入科技志愿者队伍，注册科技志愿者人数不少于1000人。每年开展形式多样、丰富多彩、贴近群众生产生活实际、围绕地方产业发展和企业需求的科技志愿服务活动50场以上，助力新时代文明实践中心建设效果明显。形成常态化科技志愿服务品牌。制订出台科技志愿服务嘉许激励制度。</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CESI仿宋-GB2312" w:hAnsi="CESI仿宋-GB2312" w:eastAsia="CESI仿宋-GB2312" w:cs="CESI仿宋-GB2312"/>
          <w:sz w:val="32"/>
          <w:szCs w:val="32"/>
        </w:rPr>
      </w:pPr>
      <w:r>
        <w:rPr>
          <w:rFonts w:hint="eastAsia" w:ascii="CESI仿宋-GB2312" w:hAnsi="CESI仿宋-GB2312" w:eastAsia="CESI仿宋-GB2312" w:cs="CESI仿宋-GB2312"/>
          <w:sz w:val="32"/>
          <w:szCs w:val="32"/>
        </w:rPr>
        <w:t>三、科普工作成效显著</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CESI仿宋-GB2312" w:hAnsi="CESI仿宋-GB2312" w:eastAsia="CESI仿宋-GB2312" w:cs="CESI仿宋-GB2312"/>
          <w:sz w:val="32"/>
          <w:szCs w:val="32"/>
        </w:rPr>
      </w:pPr>
      <w:r>
        <w:rPr>
          <w:rFonts w:hint="eastAsia" w:ascii="CESI仿宋-GB2312" w:hAnsi="CESI仿宋-GB2312" w:eastAsia="CESI仿宋-GB2312" w:cs="CESI仿宋-GB2312"/>
          <w:sz w:val="32"/>
          <w:szCs w:val="32"/>
        </w:rPr>
        <w:t>8.科普渠道多样化。充分利用各类综合性科普活动场所、新时代文明实践中心、党群活动中心、社区、街道、学校等开展精准化、多样化科普活动。利用大众传媒开展科技传播，在广播电台、电视台、报纸和杂志等媒体开设科普宣传栏目，每周刊、播1次以上。充分运用新媒体手段建立科普渠道，如科普公众号或科普微博等。在县政府等主要政务公众号中设立科普栏目，扩大和提升科普传播覆盖面和影响力。</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CESI仿宋-GB2312" w:hAnsi="CESI仿宋-GB2312" w:eastAsia="CESI仿宋-GB2312" w:cs="CESI仿宋-GB2312"/>
          <w:sz w:val="32"/>
          <w:szCs w:val="32"/>
        </w:rPr>
      </w:pPr>
      <w:r>
        <w:rPr>
          <w:rFonts w:hint="eastAsia" w:ascii="CESI仿宋-GB2312" w:hAnsi="CESI仿宋-GB2312" w:eastAsia="CESI仿宋-GB2312" w:cs="CESI仿宋-GB2312"/>
          <w:sz w:val="32"/>
          <w:szCs w:val="32"/>
        </w:rPr>
        <w:t>9.广泛动员社会资源开展科普活动。吸引社会各方面力量兴办科普事业或参与科普活动。利用学校等企事业单位、公共场所、科技园区、示范基地等公共资源，面向公众开展科普活动，年科普活动的覆盖面达到全县（市、区）常住人口的80%以上。科普工作与精神文明建设紧密结合，辖区内近三年不得发生恶劣影响的愚昧迷信、伪科学活动。</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CESI仿宋-GB2312" w:hAnsi="CESI仿宋-GB2312" w:eastAsia="CESI仿宋-GB2312" w:cs="CESI仿宋-GB2312"/>
          <w:sz w:val="32"/>
          <w:szCs w:val="32"/>
        </w:rPr>
      </w:pPr>
      <w:r>
        <w:rPr>
          <w:rFonts w:hint="eastAsia" w:ascii="CESI仿宋-GB2312" w:hAnsi="CESI仿宋-GB2312" w:eastAsia="CESI仿宋-GB2312" w:cs="CESI仿宋-GB2312"/>
          <w:sz w:val="32"/>
          <w:szCs w:val="32"/>
        </w:rPr>
        <w:t>10.推动科普中国等平台的资源落地应用。融合科技志愿服务，建立健全科普中国信息员队伍，吸纳更多公众成为科学知识的倡导者、传播者、践行者，通过微信、微博等社交渠道，将科普中国APP优质科普资源传递给周边群众，科普中国信息员人数和年度总活跃人数在全省排名均处于前30%。充分利用各类基层科普渠道，分享科普中国等平台的资源，将科技志愿服务与科普信息传播结合，加大科普传播力度。</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CESI仿宋-GB2312" w:hAnsi="CESI仿宋-GB2312" w:eastAsia="CESI仿宋-GB2312" w:cs="CESI仿宋-GB2312"/>
          <w:sz w:val="32"/>
          <w:szCs w:val="32"/>
        </w:rPr>
      </w:pPr>
      <w:r>
        <w:rPr>
          <w:rFonts w:hint="eastAsia" w:ascii="CESI仿宋-GB2312" w:hAnsi="CESI仿宋-GB2312" w:eastAsia="CESI仿宋-GB2312" w:cs="CESI仿宋-GB2312"/>
          <w:sz w:val="32"/>
          <w:szCs w:val="32"/>
        </w:rPr>
        <w:t>11.充分发挥现代科技馆体系独特作用。建好并发挥好实体科技馆展教功能，没有实体馆的县每三年至少开展流动科技馆巡展工作1次。通过科普大篷车广泛深入乡镇、农村开展活动。建设并利用农村中学科技馆开展活动。运用数字科技馆丰富内容开展科学教育。</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CESI仿宋-GB2312" w:hAnsi="CESI仿宋-GB2312" w:eastAsia="CESI仿宋-GB2312" w:cs="CESI仿宋-GB2312"/>
          <w:sz w:val="32"/>
          <w:szCs w:val="32"/>
        </w:rPr>
      </w:pPr>
      <w:r>
        <w:rPr>
          <w:rFonts w:hint="eastAsia" w:ascii="CESI仿宋-GB2312" w:hAnsi="CESI仿宋-GB2312" w:eastAsia="CESI仿宋-GB2312" w:cs="CESI仿宋-GB2312"/>
          <w:sz w:val="32"/>
          <w:szCs w:val="32"/>
        </w:rPr>
        <w:t>12.科普工作具有特色并形成品牌。科普工作具有创新性，在提高公民科学素质，促进科技创新、经济社会发展和和谐社会建设等方面发挥积极作用。探索提高公民科学素质的有效手段和方式，创新开拓基层科普阵地，形成可复制可推广的、有示范作用的典型经验和模式，树立有一定影响力的科普品牌。</w:t>
      </w:r>
    </w:p>
    <w:sectPr>
      <w:pgSz w:w="11906" w:h="16838"/>
      <w:pgMar w:top="1440" w:right="1800" w:bottom="1440" w:left="1800" w:header="720" w:footer="720"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00007A87" w:usb1="80000000" w:usb2="00000008"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00007A87" w:usb1="80000000" w:usb2="00000008"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Trebuchet MS"/>
    <w:panose1 w:val="020F0502020204030204"/>
    <w:charset w:val="00"/>
    <w:family w:val="swiss"/>
    <w:pitch w:val="default"/>
    <w:sig w:usb0="00000000" w:usb1="00000000" w:usb2="00000001" w:usb3="00000000" w:csb0="0000019F" w:csb1="00000000"/>
  </w:font>
  <w:font w:name="Liberation Sans">
    <w:panose1 w:val="020B0604020202020204"/>
    <w:charset w:val="00"/>
    <w:family w:val="swiss"/>
    <w:pitch w:val="default"/>
    <w:sig w:usb0="A00002AF" w:usb1="500078FB" w:usb2="00000000" w:usb3="00000000" w:csb0="6000009F" w:csb1="DFD70000"/>
  </w:font>
  <w:font w:name="Noto Sans CJK SC Regular">
    <w:panose1 w:val="020B0500000000000000"/>
    <w:charset w:val="86"/>
    <w:family w:val="auto"/>
    <w:pitch w:val="default"/>
    <w:sig w:usb0="30000003" w:usb1="2BDF3C10" w:usb2="00000016" w:usb3="00000000" w:csb0="602E0107" w:csb1="00000000"/>
  </w:font>
  <w:font w:name="CESI仿宋-GB2312">
    <w:panose1 w:val="02000500000000000000"/>
    <w:charset w:val="86"/>
    <w:family w:val="auto"/>
    <w:pitch w:val="default"/>
    <w:sig w:usb0="800002AF" w:usb1="084F6CF8" w:usb2="00000010" w:usb3="00000000" w:csb0="0004000F" w:csb1="00000000"/>
  </w:font>
  <w:font w:name="方正小标宋简体">
    <w:panose1 w:val="02000000000000000000"/>
    <w:charset w:val="86"/>
    <w:family w:val="auto"/>
    <w:pitch w:val="default"/>
    <w:sig w:usb0="A00002BF" w:usb1="184F6CFA" w:usb2="00000012" w:usb3="00000000" w:csb0="00040001" w:csb1="00000000"/>
  </w:font>
  <w:font w:name="方正楷体_GBK">
    <w:panose1 w:val="02000000000000000000"/>
    <w:charset w:val="86"/>
    <w:family w:val="auto"/>
    <w:pitch w:val="default"/>
    <w:sig w:usb0="00000001" w:usb1="08000000" w:usb2="00000000" w:usb3="00000000" w:csb0="00040000" w:csb1="00000000"/>
  </w:font>
  <w:font w:name="方正书宋_GBK">
    <w:panose1 w:val="02000000000000000000"/>
    <w:charset w:val="86"/>
    <w:family w:val="auto"/>
    <w:pitch w:val="default"/>
    <w:sig w:usb0="00000001" w:usb1="08000000" w:usb2="00000000" w:usb3="00000000" w:csb0="00040000" w:csb1="00000000"/>
  </w:font>
  <w:font w:name="Trebuchet MS">
    <w:panose1 w:val="020B0603020202020204"/>
    <w:charset w:val="00"/>
    <w:family w:val="auto"/>
    <w:pitch w:val="default"/>
    <w:sig w:usb0="00000287" w:usb1="00000000" w:usb2="00000000" w:usb3="00000000" w:csb0="2000009F" w:csb1="00000000"/>
  </w:font>
  <w:font w:name="方正姚体_GBK">
    <w:panose1 w:val="02000000000000000000"/>
    <w:charset w:val="86"/>
    <w:family w:val="auto"/>
    <w:pitch w:val="default"/>
    <w:sig w:usb0="00000001" w:usb1="08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true"/>
  <w:displayBackgroundShape w:val="true"/>
  <w:bordersDoNotSurroundHeader w:val="false"/>
  <w:bordersDoNotSurroundFooter w:val="fals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drawingGridHorizontalSpacing w:val="1"/>
  <w:drawingGridVerticalSpacing w:val="1"/>
  <w:displayHorizontalDrawingGridEvery w:val="1"/>
  <w:displayVerticalDrawingGridEvery w:val="1"/>
  <w:doNotUseMarginsForDrawingGridOrigin w:val="true"/>
  <w:drawingGridHorizontalOrigin w:val="0"/>
  <w:drawingGridVerticalOrigin w:val="0"/>
  <w:noPunctuationKerning w:val="true"/>
  <w:characterSpacingControl w:val="compressPunctuation"/>
  <w:doNotValidateAgainstSchema/>
  <w:doNotDemarcateInvalidXml/>
  <w:compat>
    <w:spaceForUL/>
    <w:balanceSingleByteDoubleByteWidth/>
    <w:doNotLeaveBackslashAlone/>
    <w:ulTrailSpac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BDD3247"/>
    <w:rsid w:val="4BE1C68A"/>
    <w:rsid w:val="57FF3250"/>
    <w:rsid w:val="79B82229"/>
    <w:rsid w:val="B7AEF5CE"/>
    <w:rsid w:val="CFFFFDB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EmbedSmartTag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uppressAutoHyphens/>
      <w:bidi w:val="0"/>
      <w:jc w:val="both"/>
    </w:pPr>
    <w:rPr>
      <w:rFonts w:ascii="Calibri" w:hAnsi="Calibri" w:eastAsia="宋体" w:cs="Times New Roman"/>
      <w:color w:val="auto"/>
      <w:kern w:val="2"/>
      <w:sz w:val="21"/>
      <w:szCs w:val="24"/>
      <w:lang w:val="en-US" w:eastAsia="zh-CN" w:bidi="ar-SA"/>
    </w:rPr>
  </w:style>
  <w:style w:type="character" w:default="1" w:styleId="6">
    <w:name w:val="Default Paragraph Font"/>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caption"/>
    <w:basedOn w:val="1"/>
    <w:next w:val="1"/>
    <w:qFormat/>
    <w:uiPriority w:val="0"/>
    <w:pPr>
      <w:widowControl w:val="0"/>
      <w:suppressLineNumbers/>
      <w:suppressAutoHyphens/>
      <w:spacing w:before="120" w:after="120"/>
    </w:pPr>
    <w:rPr>
      <w:i/>
      <w:iCs/>
      <w:sz w:val="24"/>
      <w:szCs w:val="24"/>
    </w:rPr>
  </w:style>
  <w:style w:type="paragraph" w:styleId="3">
    <w:name w:val="Body Text"/>
    <w:basedOn w:val="1"/>
    <w:qFormat/>
    <w:uiPriority w:val="0"/>
    <w:pPr>
      <w:spacing w:before="0" w:after="140" w:line="276" w:lineRule="auto"/>
    </w:pPr>
  </w:style>
  <w:style w:type="paragraph" w:styleId="4">
    <w:name w:val="List"/>
    <w:basedOn w:val="3"/>
    <w:qFormat/>
    <w:uiPriority w:val="0"/>
  </w:style>
  <w:style w:type="character" w:customStyle="1" w:styleId="7">
    <w:name w:val="默认段落字体1"/>
    <w:qFormat/>
    <w:uiPriority w:val="0"/>
  </w:style>
  <w:style w:type="paragraph" w:customStyle="1" w:styleId="8">
    <w:name w:val="Heading"/>
    <w:basedOn w:val="1"/>
    <w:next w:val="3"/>
    <w:qFormat/>
    <w:uiPriority w:val="0"/>
    <w:pPr>
      <w:keepNext/>
      <w:widowControl w:val="0"/>
      <w:suppressAutoHyphens/>
      <w:spacing w:before="240" w:after="120"/>
    </w:pPr>
    <w:rPr>
      <w:rFonts w:ascii="Liberation Sans" w:hAnsi="Liberation Sans" w:eastAsia="Noto Sans CJK SC Regular" w:cs="Noto Sans CJK SC Regular"/>
      <w:sz w:val="28"/>
      <w:szCs w:val="28"/>
      <w:lang w:bidi="ar-SA"/>
    </w:rPr>
  </w:style>
  <w:style w:type="paragraph" w:customStyle="1" w:styleId="9">
    <w:name w:val="Index"/>
    <w:basedOn w:val="1"/>
    <w:qFormat/>
    <w:uiPriority w:val="0"/>
    <w:pPr>
      <w:widowControl w:val="0"/>
      <w:suppressLineNumbers/>
      <w:suppressAutoHyphens/>
    </w:p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otalTime>5</TotalTime>
  <ScaleCrop>false</ScaleCrop>
  <LinksUpToDate>false</LinksUpToDate>
  <Application>WPS Office_11.8.2.9980_F1E327BC-269C-435d-A152-05C5408002CA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2018-11-28T17:47:00Z</dcterms:created>
  <dc:creator>skx</dc:creator>
  <cp:lastModifiedBy>skx</cp:lastModifiedBy>
  <cp:lastPrinted>2022-02-15T15:13:13Z</cp:lastPrinted>
  <dcterms:modified xsi:type="dcterms:W3CDTF">2022-02-15T15:13:16Z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2052-11.8.2.9980</vt:lpwstr>
  </property>
</Properties>
</file>